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F0" w:rsidRPr="00154566" w:rsidRDefault="00217435">
      <w:pPr>
        <w:pStyle w:val="Textbody"/>
        <w:spacing w:after="57" w:line="325" w:lineRule="atLeast"/>
        <w:jc w:val="right"/>
      </w:pPr>
      <w:r w:rsidRPr="00154566">
        <w:rPr>
          <w:rFonts w:ascii="Arial" w:hAnsi="Arial" w:cs="Arial"/>
          <w:b/>
          <w:bCs/>
        </w:rPr>
        <w:t>PROJETO DE FORTALECIMENTO DA CULTURA DE CANDIOTA</w:t>
      </w:r>
    </w:p>
    <w:p w:rsidR="007875F0" w:rsidRPr="00154566" w:rsidRDefault="00217435">
      <w:pPr>
        <w:pStyle w:val="Textbody"/>
        <w:spacing w:after="57" w:line="325" w:lineRule="atLeast"/>
        <w:jc w:val="right"/>
        <w:rPr>
          <w:rFonts w:ascii="Arial" w:hAnsi="Arial" w:cs="Arial"/>
          <w:b/>
          <w:bCs/>
          <w:sz w:val="22"/>
          <w:szCs w:val="22"/>
        </w:rPr>
      </w:pPr>
      <w:r w:rsidRPr="00154566">
        <w:rPr>
          <w:rFonts w:ascii="Arial" w:hAnsi="Arial" w:cs="Arial"/>
          <w:b/>
          <w:bCs/>
          <w:sz w:val="22"/>
          <w:szCs w:val="22"/>
        </w:rPr>
        <w:t xml:space="preserve">Proponente: Secretaria Municipal de Cultura de </w:t>
      </w:r>
      <w:proofErr w:type="spellStart"/>
      <w:r w:rsidRPr="00154566">
        <w:rPr>
          <w:rFonts w:ascii="Arial" w:hAnsi="Arial" w:cs="Arial"/>
          <w:b/>
          <w:bCs/>
          <w:sz w:val="22"/>
          <w:szCs w:val="22"/>
        </w:rPr>
        <w:t>Candiota</w:t>
      </w:r>
      <w:proofErr w:type="spellEnd"/>
    </w:p>
    <w:p w:rsidR="00154566" w:rsidRDefault="00217435">
      <w:pPr>
        <w:pStyle w:val="Textbody"/>
        <w:spacing w:after="57" w:line="325" w:lineRule="atLeast"/>
        <w:jc w:val="right"/>
        <w:rPr>
          <w:rFonts w:ascii="Arial" w:hAnsi="Arial" w:cs="Arial"/>
          <w:b/>
          <w:bCs/>
          <w:sz w:val="22"/>
          <w:szCs w:val="22"/>
        </w:rPr>
      </w:pPr>
      <w:r w:rsidRPr="00154566">
        <w:rPr>
          <w:rFonts w:ascii="Arial" w:hAnsi="Arial" w:cs="Arial"/>
          <w:b/>
          <w:bCs/>
          <w:sz w:val="22"/>
          <w:szCs w:val="22"/>
        </w:rPr>
        <w:t>Referência: Lei Federal nº 14.017/2020 – Lei Aldir Blanc</w:t>
      </w:r>
    </w:p>
    <w:p w:rsidR="00154566" w:rsidRPr="00154566" w:rsidRDefault="00154566">
      <w:pPr>
        <w:pStyle w:val="Textbody"/>
        <w:spacing w:after="57" w:line="325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10445" w:type="dxa"/>
        <w:tblInd w:w="-3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5"/>
      </w:tblGrid>
      <w:tr w:rsidR="007875F0"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Justificativa</w:t>
            </w:r>
          </w:p>
        </w:tc>
      </w:tr>
      <w:tr w:rsidR="007875F0">
        <w:tc>
          <w:tcPr>
            <w:tcW w:w="10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Pr="00154566" w:rsidRDefault="00217435">
            <w:pPr>
              <w:pStyle w:val="Textbody"/>
              <w:spacing w:before="173" w:after="0" w:line="278" w:lineRule="auto"/>
              <w:ind w:left="285" w:right="296" w:firstLine="1418"/>
              <w:jc w:val="both"/>
              <w:rPr>
                <w:rFonts w:ascii="FreeSans" w:hAnsi="FreeSans"/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 xml:space="preserve">O Projeto Fortalecimento da Cultura de </w:t>
            </w:r>
            <w:proofErr w:type="spellStart"/>
            <w:r w:rsidRPr="00154566">
              <w:rPr>
                <w:rFonts w:ascii="FreeSans" w:hAnsi="FreeSans"/>
                <w:sz w:val="22"/>
                <w:szCs w:val="22"/>
              </w:rPr>
              <w:t>Candiota</w:t>
            </w:r>
            <w:proofErr w:type="spellEnd"/>
            <w:r w:rsidRPr="00154566">
              <w:rPr>
                <w:rFonts w:ascii="FreeSans" w:hAnsi="FreeSans"/>
                <w:sz w:val="22"/>
                <w:szCs w:val="22"/>
              </w:rPr>
              <w:t xml:space="preserve">, vai de encontro as sugestões apresentadas pela comunidade cultural, quando da realização do Cadastro Municipal de Cultura – CMC, ferramenta norteadora do Mapeamento LAB do município de </w:t>
            </w:r>
            <w:proofErr w:type="spellStart"/>
            <w:r w:rsidRPr="00154566">
              <w:rPr>
                <w:rFonts w:ascii="FreeSans" w:hAnsi="FreeSans"/>
                <w:sz w:val="22"/>
                <w:szCs w:val="22"/>
              </w:rPr>
              <w:t>Candiota</w:t>
            </w:r>
            <w:proofErr w:type="spellEnd"/>
            <w:r w:rsidRPr="00154566">
              <w:rPr>
                <w:rFonts w:ascii="FreeSans" w:hAnsi="FreeSans"/>
                <w:sz w:val="22"/>
                <w:szCs w:val="22"/>
              </w:rPr>
              <w:t xml:space="preserve"> - RS, que visa a aplicação dos recursos da Lei Federal nº 14.017/2020, em consonância a Lei Municipal nº 2171/2020. Este projeto visa gerar renda aos fazedores de cultura das mais diversas áreas e seguimentos.</w:t>
            </w:r>
          </w:p>
          <w:p w:rsidR="007875F0" w:rsidRPr="00154566" w:rsidRDefault="00217435">
            <w:pPr>
              <w:pStyle w:val="Textbody"/>
              <w:spacing w:line="278" w:lineRule="auto"/>
              <w:ind w:left="285" w:right="297" w:firstLine="1418"/>
              <w:jc w:val="both"/>
              <w:rPr>
                <w:rFonts w:ascii="FreeSans" w:hAnsi="FreeSans"/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 xml:space="preserve">O Presente projeto se ampara no Plano de Ação aprovado pelo município de </w:t>
            </w:r>
            <w:proofErr w:type="spellStart"/>
            <w:r w:rsidRPr="00154566">
              <w:rPr>
                <w:rFonts w:ascii="FreeSans" w:hAnsi="FreeSans"/>
                <w:sz w:val="22"/>
                <w:szCs w:val="22"/>
              </w:rPr>
              <w:t>Candiota</w:t>
            </w:r>
            <w:proofErr w:type="spellEnd"/>
            <w:r w:rsidRPr="00154566">
              <w:rPr>
                <w:rFonts w:ascii="FreeSans" w:hAnsi="FreeSans"/>
                <w:sz w:val="22"/>
                <w:szCs w:val="22"/>
              </w:rPr>
              <w:t>, junto a Secretaria Especial da Cultura, órgão vinculado ao Ministério do Turismo, e vinculado ao INCISO III da Lei Federal nº 14.017/2020.</w:t>
            </w:r>
          </w:p>
          <w:p w:rsidR="007875F0" w:rsidRPr="00154566" w:rsidRDefault="007875F0">
            <w:pPr>
              <w:pStyle w:val="Textbody"/>
              <w:spacing w:before="8" w:after="0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217435">
            <w:pPr>
              <w:pStyle w:val="Textbody"/>
              <w:spacing w:line="278" w:lineRule="auto"/>
              <w:ind w:left="4482" w:right="287"/>
              <w:jc w:val="both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III - editais, chamadas públicas, prêmios, aquisição de bens e serviços vinculados ao setor cultural e outros instrumentos destinados à manutenção de agentes, de espaços, de iniciativas, de cursos, de produções, de desenvolvimento de atividades de economia criativa e de economia solidária, de produções audiovisuais, de manifestações culturais, bem como para a realização de atividades artísticas e culturais que possam ser transmitidas pela internet ou disponibilizadas por meio de redes sociais e outras plataformas</w:t>
            </w:r>
            <w:r w:rsidRPr="00154566">
              <w:rPr>
                <w:rFonts w:ascii="FreeSans" w:hAnsi="FreeSans"/>
                <w:spacing w:val="-6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digitais.</w:t>
            </w:r>
          </w:p>
          <w:p w:rsidR="007875F0" w:rsidRPr="00154566" w:rsidRDefault="007875F0">
            <w:pPr>
              <w:pStyle w:val="Textbody"/>
              <w:spacing w:before="8" w:after="0"/>
              <w:rPr>
                <w:rFonts w:ascii="FreeSans" w:hAnsi="FreeSans"/>
                <w:sz w:val="22"/>
                <w:szCs w:val="22"/>
              </w:rPr>
            </w:pPr>
          </w:p>
          <w:p w:rsidR="007875F0" w:rsidRDefault="00217435">
            <w:pPr>
              <w:pStyle w:val="Textbody"/>
              <w:suppressLineNumbers/>
              <w:spacing w:after="0" w:line="278" w:lineRule="auto"/>
              <w:ind w:left="285" w:right="286" w:firstLine="1418"/>
              <w:jc w:val="both"/>
            </w:pPr>
            <w:r w:rsidRPr="00154566">
              <w:rPr>
                <w:rFonts w:ascii="Arial" w:hAnsi="Arial" w:cs="Arial"/>
                <w:sz w:val="22"/>
                <w:szCs w:val="22"/>
              </w:rPr>
              <w:t>Desta forma, com o desenvolvimento deste projeto, estaremos implementando a execução e propósito da legislação, bem como, desenvolvendo a cadeia produtiva da cultura, neste momento de pandemia, razão de criação da presente legislação emergencial, produzindo trabalho e renda para comunidade cultural local que se enquadre nas regras do presente</w:t>
            </w:r>
            <w:r w:rsidRPr="001545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154566">
              <w:rPr>
                <w:rFonts w:ascii="Arial" w:hAnsi="Arial" w:cs="Arial"/>
                <w:sz w:val="22"/>
                <w:szCs w:val="22"/>
              </w:rPr>
              <w:t>projeto.</w:t>
            </w:r>
          </w:p>
        </w:tc>
      </w:tr>
    </w:tbl>
    <w:p w:rsidR="00154566" w:rsidRDefault="00154566">
      <w:pPr>
        <w:pStyle w:val="Textbody"/>
        <w:spacing w:after="0" w:line="323" w:lineRule="atLeast"/>
      </w:pPr>
    </w:p>
    <w:p w:rsidR="00154566" w:rsidRDefault="00154566">
      <w:pPr>
        <w:pStyle w:val="Textbody"/>
        <w:spacing w:after="0" w:line="323" w:lineRule="atLeast"/>
      </w:pPr>
    </w:p>
    <w:tbl>
      <w:tblPr>
        <w:tblW w:w="10445" w:type="dxa"/>
        <w:tblInd w:w="-3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5"/>
      </w:tblGrid>
      <w:tr w:rsidR="007875F0"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Objetivos Gerais</w:t>
            </w:r>
          </w:p>
        </w:tc>
      </w:tr>
      <w:tr w:rsidR="007875F0">
        <w:tc>
          <w:tcPr>
            <w:tcW w:w="10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Pr="00154566" w:rsidRDefault="00217435">
            <w:pPr>
              <w:pStyle w:val="Textbody"/>
              <w:spacing w:before="104" w:after="0" w:line="278" w:lineRule="auto"/>
              <w:ind w:left="165" w:right="176" w:firstLine="14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566">
              <w:rPr>
                <w:rFonts w:ascii="Arial" w:hAnsi="Arial" w:cs="Arial"/>
                <w:sz w:val="22"/>
                <w:szCs w:val="22"/>
              </w:rPr>
              <w:t>Possibilitar a contratação de serviços ligados aos seguimento cultural e artísticos para implementação do INCISO III, do artigo 2º, da Lei Federal nº 14.017/2020, além de compra de equipamentos e bens culturais destinados a comunidade cultural.</w:t>
            </w:r>
          </w:p>
        </w:tc>
      </w:tr>
    </w:tbl>
    <w:p w:rsidR="00154566" w:rsidRDefault="00154566">
      <w:pPr>
        <w:pStyle w:val="Textbody"/>
        <w:spacing w:after="0" w:line="323" w:lineRule="atLeast"/>
      </w:pPr>
    </w:p>
    <w:p w:rsidR="00154566" w:rsidRDefault="00154566">
      <w:pPr>
        <w:pStyle w:val="Textbody"/>
        <w:spacing w:after="0" w:line="323" w:lineRule="atLeast"/>
      </w:pPr>
    </w:p>
    <w:tbl>
      <w:tblPr>
        <w:tblW w:w="10505" w:type="dxa"/>
        <w:tblInd w:w="-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5"/>
      </w:tblGrid>
      <w:tr w:rsidR="007875F0"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 Objetivos Específicos</w:t>
            </w:r>
          </w:p>
        </w:tc>
      </w:tr>
      <w:tr w:rsidR="007875F0">
        <w:tc>
          <w:tcPr>
            <w:tcW w:w="10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numPr>
                <w:ilvl w:val="0"/>
                <w:numId w:val="2"/>
              </w:numPr>
              <w:tabs>
                <w:tab w:val="left" w:pos="621"/>
              </w:tabs>
              <w:spacing w:before="104" w:after="0" w:line="278" w:lineRule="auto"/>
              <w:ind w:left="165" w:right="184" w:firstLine="0"/>
            </w:pPr>
            <w:r>
              <w:rPr>
                <w:rFonts w:ascii="FreeSans" w:hAnsi="FreeSans"/>
                <w:sz w:val="22"/>
                <w:szCs w:val="22"/>
              </w:rPr>
              <w:t>Contratar serviços culturais, visando o fortalecimento da cadeia produtiva da cultura em todos os seus</w:t>
            </w:r>
            <w:r>
              <w:rPr>
                <w:rFonts w:ascii="FreeSans" w:hAnsi="FreeSan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FreeSans" w:hAnsi="FreeSans"/>
                <w:sz w:val="22"/>
                <w:szCs w:val="22"/>
              </w:rPr>
              <w:t>seguimentos;</w:t>
            </w:r>
          </w:p>
          <w:p w:rsidR="007875F0" w:rsidRDefault="00217435">
            <w:pPr>
              <w:pStyle w:val="Textbody"/>
              <w:numPr>
                <w:ilvl w:val="0"/>
                <w:numId w:val="2"/>
              </w:numPr>
              <w:tabs>
                <w:tab w:val="left" w:pos="641"/>
              </w:tabs>
              <w:spacing w:line="278" w:lineRule="auto"/>
              <w:ind w:left="165" w:right="180" w:firstLine="0"/>
            </w:pPr>
            <w:r>
              <w:rPr>
                <w:rFonts w:ascii="FreeSans" w:hAnsi="FreeSans"/>
                <w:sz w:val="22"/>
                <w:szCs w:val="22"/>
              </w:rPr>
              <w:t>Proporcionar a comunidade produções culturais através de plataforma exclusiva e gratuita na</w:t>
            </w:r>
            <w:r>
              <w:rPr>
                <w:rFonts w:ascii="FreeSans" w:hAnsi="FreeSan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FreeSans" w:hAnsi="FreeSans"/>
                <w:sz w:val="22"/>
                <w:szCs w:val="22"/>
              </w:rPr>
              <w:t>internet;</w:t>
            </w:r>
          </w:p>
          <w:p w:rsidR="007875F0" w:rsidRDefault="00217435">
            <w:pPr>
              <w:pStyle w:val="Textbody"/>
              <w:numPr>
                <w:ilvl w:val="0"/>
                <w:numId w:val="2"/>
              </w:numPr>
              <w:tabs>
                <w:tab w:val="left" w:pos="667"/>
              </w:tabs>
              <w:spacing w:line="278" w:lineRule="auto"/>
              <w:ind w:left="165" w:right="177" w:firstLine="0"/>
            </w:pPr>
            <w:r>
              <w:rPr>
                <w:rFonts w:ascii="FreeSans" w:hAnsi="FreeSans"/>
                <w:sz w:val="22"/>
                <w:szCs w:val="22"/>
              </w:rPr>
              <w:t>Proporcionar aos agentes culturais outras possibilidades de participação, como forma de trabalho e</w:t>
            </w:r>
            <w:r>
              <w:rPr>
                <w:rFonts w:ascii="FreeSans" w:hAnsi="FreeSan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FreeSans" w:hAnsi="FreeSans"/>
                <w:sz w:val="22"/>
                <w:szCs w:val="22"/>
              </w:rPr>
              <w:t>renda;</w:t>
            </w:r>
          </w:p>
          <w:p w:rsidR="007875F0" w:rsidRDefault="00217435">
            <w:pPr>
              <w:pStyle w:val="Textbody"/>
              <w:numPr>
                <w:ilvl w:val="0"/>
                <w:numId w:val="2"/>
              </w:numPr>
              <w:tabs>
                <w:tab w:val="left" w:pos="619"/>
              </w:tabs>
              <w:spacing w:line="278" w:lineRule="auto"/>
              <w:ind w:left="165" w:right="186" w:firstLine="0"/>
            </w:pPr>
            <w:r>
              <w:rPr>
                <w:rFonts w:ascii="FreeSans" w:hAnsi="FreeSans"/>
                <w:spacing w:val="-9"/>
                <w:sz w:val="22"/>
                <w:szCs w:val="22"/>
              </w:rPr>
              <w:t xml:space="preserve">Ter </w:t>
            </w:r>
            <w:r>
              <w:rPr>
                <w:rFonts w:ascii="FreeSans" w:hAnsi="FreeSans"/>
                <w:sz w:val="22"/>
                <w:szCs w:val="22"/>
              </w:rPr>
              <w:t>a oportunidade de contratar serviços técnicos auxiliares a execução da Lei Aldir Blanc - Lei Federal nº 14.017/2020, no âmbito do município de</w:t>
            </w:r>
            <w:r>
              <w:rPr>
                <w:rFonts w:ascii="FreeSans" w:hAnsi="FreeSans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reeSans" w:hAnsi="FreeSans"/>
                <w:sz w:val="22"/>
                <w:szCs w:val="22"/>
              </w:rPr>
              <w:t>Candiota</w:t>
            </w:r>
            <w:proofErr w:type="spellEnd"/>
            <w:r>
              <w:rPr>
                <w:rFonts w:ascii="FreeSans" w:hAnsi="FreeSans"/>
                <w:sz w:val="22"/>
                <w:szCs w:val="22"/>
              </w:rPr>
              <w:t>;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</w:pPr>
            <w:r>
              <w:rPr>
                <w:rFonts w:ascii="FreeSans" w:hAnsi="FreeSans" w:cs="Arial"/>
                <w:sz w:val="22"/>
                <w:szCs w:val="22"/>
              </w:rPr>
              <w:t xml:space="preserve">   e) Adquirir equipamentos e bens culturais destinados a comunidade cultural de </w:t>
            </w:r>
            <w:proofErr w:type="spellStart"/>
            <w:r>
              <w:rPr>
                <w:rFonts w:ascii="FreeSans" w:hAnsi="FreeSans" w:cs="Arial"/>
                <w:sz w:val="22"/>
                <w:szCs w:val="22"/>
              </w:rPr>
              <w:t>Candiota</w:t>
            </w:r>
            <w:proofErr w:type="spellEnd"/>
            <w:r>
              <w:rPr>
                <w:rFonts w:ascii="FreeSans" w:hAnsi="FreeSans" w:cs="Arial"/>
              </w:rPr>
              <w:t>.</w:t>
            </w:r>
          </w:p>
        </w:tc>
      </w:tr>
    </w:tbl>
    <w:p w:rsidR="007875F0" w:rsidRDefault="007875F0">
      <w:pPr>
        <w:pStyle w:val="Textbody"/>
        <w:spacing w:after="0" w:line="323" w:lineRule="atLeast"/>
      </w:pPr>
    </w:p>
    <w:p w:rsidR="007875F0" w:rsidRDefault="007875F0">
      <w:pPr>
        <w:pStyle w:val="Textbody"/>
        <w:spacing w:after="0" w:line="323" w:lineRule="atLeast"/>
      </w:pPr>
    </w:p>
    <w:tbl>
      <w:tblPr>
        <w:tblW w:w="10505" w:type="dxa"/>
        <w:tblInd w:w="-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5"/>
      </w:tblGrid>
      <w:tr w:rsidR="007875F0"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Da Metodologia</w:t>
            </w:r>
          </w:p>
        </w:tc>
      </w:tr>
      <w:tr w:rsidR="007875F0">
        <w:tc>
          <w:tcPr>
            <w:tcW w:w="10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Pr="00154566" w:rsidRDefault="00217435">
            <w:pPr>
              <w:pStyle w:val="Textbody"/>
              <w:spacing w:before="174" w:after="0" w:line="278" w:lineRule="auto"/>
              <w:ind w:left="285" w:right="292" w:firstLine="1418"/>
              <w:jc w:val="both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Com base no Cadastro Municipal de Cultura - CMC, tanto "homologados" quando na modalidade "cadastro reserva", será ofertada a possibilidade de apresentações artísticas virtuais, dos mais variados seguimentos culturais e artísticos, com base no critério, de não inscrição nos Editais Municipais da Lei Aldir Blanc. Em</w:t>
            </w:r>
            <w:r w:rsidRPr="00154566">
              <w:rPr>
                <w:rFonts w:ascii="FreeSans" w:hAnsi="FreeSans"/>
                <w:spacing w:val="-34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um segundo momento, havendo saldo de recursos, poderão ser chamados outros agentes culturais.</w:t>
            </w:r>
          </w:p>
          <w:p w:rsidR="007875F0" w:rsidRPr="00154566" w:rsidRDefault="00217435">
            <w:pPr>
              <w:pStyle w:val="Textbody"/>
              <w:spacing w:line="272" w:lineRule="exact"/>
              <w:ind w:left="1703"/>
              <w:jc w:val="both"/>
              <w:rPr>
                <w:rFonts w:ascii="FreeSans" w:hAnsi="FreeSans"/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Em um primeiro momento serão convidados a participar deste projeto:</w:t>
            </w:r>
          </w:p>
          <w:p w:rsidR="007875F0" w:rsidRPr="00154566" w:rsidRDefault="00217435">
            <w:pPr>
              <w:pStyle w:val="PargrafodaLista"/>
              <w:numPr>
                <w:ilvl w:val="0"/>
                <w:numId w:val="3"/>
              </w:numPr>
              <w:tabs>
                <w:tab w:val="left" w:pos="913"/>
              </w:tabs>
              <w:spacing w:before="48" w:line="278" w:lineRule="auto"/>
              <w:ind w:left="285" w:firstLine="0"/>
              <w:rPr>
                <w:rFonts w:ascii="FreeSans" w:hAnsi="FreeSans"/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Artistas e técnicos que não tenham sido contemplados nos Editais de Premiação Municipal Lei Aldir Blanc nº 001 – 002 e 003</w:t>
            </w:r>
          </w:p>
          <w:p w:rsidR="007875F0" w:rsidRPr="00154566" w:rsidRDefault="00217435">
            <w:pPr>
              <w:pStyle w:val="PargrafodaLista"/>
              <w:numPr>
                <w:ilvl w:val="0"/>
                <w:numId w:val="3"/>
              </w:numPr>
              <w:tabs>
                <w:tab w:val="left" w:pos="937"/>
              </w:tabs>
              <w:spacing w:line="278" w:lineRule="auto"/>
              <w:ind w:left="285" w:firstLine="0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Que tenham produção cultural de relevante importância para a cultura local, que aceitem as condições previstas neste</w:t>
            </w:r>
            <w:r w:rsidRPr="00154566">
              <w:rPr>
                <w:rFonts w:ascii="FreeSans" w:hAnsi="FreeSans"/>
                <w:spacing w:val="-1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projeto.</w:t>
            </w:r>
          </w:p>
          <w:p w:rsidR="007875F0" w:rsidRPr="00154566" w:rsidRDefault="00217435">
            <w:pPr>
              <w:pStyle w:val="Textbody"/>
              <w:spacing w:before="166" w:after="0"/>
              <w:ind w:left="285"/>
              <w:jc w:val="both"/>
              <w:rPr>
                <w:rFonts w:ascii="FreeSans" w:hAnsi="FreeSans"/>
                <w:b/>
                <w:bCs/>
                <w:i/>
                <w:iCs/>
                <w:sz w:val="22"/>
                <w:szCs w:val="22"/>
              </w:rPr>
            </w:pPr>
            <w:r w:rsidRPr="00154566">
              <w:rPr>
                <w:rFonts w:ascii="FreeSans" w:hAnsi="FreeSans"/>
                <w:b/>
                <w:bCs/>
                <w:i/>
                <w:iCs/>
                <w:sz w:val="22"/>
                <w:szCs w:val="22"/>
              </w:rPr>
              <w:t>Da contratação de serviços:</w:t>
            </w:r>
          </w:p>
          <w:p w:rsidR="007875F0" w:rsidRPr="00154566" w:rsidRDefault="00217435">
            <w:pPr>
              <w:pStyle w:val="Textbody"/>
              <w:spacing w:before="48" w:after="0" w:line="278" w:lineRule="auto"/>
              <w:ind w:left="285" w:right="290" w:firstLine="1418"/>
              <w:jc w:val="both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Os serviços necessários para efetiva realização deste projeto, seguirão o regramento da Lei</w:t>
            </w:r>
            <w:r w:rsidRPr="00154566">
              <w:rPr>
                <w:rFonts w:ascii="FreeSans" w:hAnsi="FreeSans"/>
                <w:spacing w:val="-3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8.666/93.</w:t>
            </w:r>
          </w:p>
          <w:p w:rsidR="00154566" w:rsidRPr="00154566" w:rsidRDefault="00154566">
            <w:pPr>
              <w:pStyle w:val="Textbody"/>
              <w:spacing w:before="169" w:after="0"/>
              <w:ind w:left="285"/>
              <w:jc w:val="both"/>
              <w:rPr>
                <w:rFonts w:ascii="FreeSans" w:hAnsi="FreeSans"/>
                <w:b/>
                <w:bCs/>
                <w:i/>
                <w:iCs/>
                <w:sz w:val="22"/>
                <w:szCs w:val="22"/>
              </w:rPr>
            </w:pPr>
          </w:p>
          <w:p w:rsidR="007875F0" w:rsidRPr="00154566" w:rsidRDefault="00217435">
            <w:pPr>
              <w:pStyle w:val="Textbody"/>
              <w:spacing w:before="169" w:after="0"/>
              <w:ind w:left="285"/>
              <w:jc w:val="both"/>
              <w:rPr>
                <w:rFonts w:ascii="FreeSans" w:hAnsi="FreeSans"/>
                <w:b/>
                <w:bCs/>
                <w:i/>
                <w:iCs/>
                <w:sz w:val="22"/>
                <w:szCs w:val="22"/>
              </w:rPr>
            </w:pPr>
            <w:r w:rsidRPr="00154566">
              <w:rPr>
                <w:rFonts w:ascii="FreeSans" w:hAnsi="FreeSans"/>
                <w:b/>
                <w:bCs/>
                <w:i/>
                <w:iCs/>
                <w:sz w:val="22"/>
                <w:szCs w:val="22"/>
              </w:rPr>
              <w:t>Da divulgação:</w:t>
            </w:r>
          </w:p>
          <w:p w:rsidR="007875F0" w:rsidRPr="00154566" w:rsidRDefault="00217435">
            <w:pPr>
              <w:pStyle w:val="Textbody"/>
              <w:spacing w:before="48" w:after="0" w:line="278" w:lineRule="auto"/>
              <w:ind w:left="285" w:right="293" w:firstLine="1418"/>
              <w:jc w:val="both"/>
              <w:rPr>
                <w:rFonts w:ascii="FreeSans" w:hAnsi="FreeSans"/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 xml:space="preserve">A divulgação do presente se dará por meio das redes sociais da Lei Aldir Blanc, notícias para os órgãos de comunicação e disponibilidade do conteúdo deste projeto em sua integra no site oficial da Prefeitura de </w:t>
            </w:r>
            <w:proofErr w:type="spellStart"/>
            <w:r w:rsidRPr="00154566">
              <w:rPr>
                <w:rFonts w:ascii="FreeSans" w:hAnsi="FreeSans"/>
                <w:sz w:val="22"/>
                <w:szCs w:val="22"/>
              </w:rPr>
              <w:t>Candiota</w:t>
            </w:r>
            <w:proofErr w:type="spellEnd"/>
            <w:r w:rsidRPr="00154566">
              <w:rPr>
                <w:rFonts w:ascii="FreeSans" w:hAnsi="FreeSans"/>
                <w:sz w:val="22"/>
                <w:szCs w:val="22"/>
              </w:rPr>
              <w:t>, no link Aldir Blanc.</w:t>
            </w:r>
          </w:p>
          <w:p w:rsidR="007875F0" w:rsidRPr="00154566" w:rsidRDefault="00217435">
            <w:pPr>
              <w:pStyle w:val="TableContents"/>
              <w:tabs>
                <w:tab w:val="left" w:pos="1525"/>
              </w:tabs>
              <w:spacing w:line="325" w:lineRule="atLeast"/>
              <w:ind w:firstLine="1417"/>
              <w:jc w:val="both"/>
              <w:rPr>
                <w:rFonts w:ascii="FreeSans" w:hAnsi="FreeSans" w:cs="Arial"/>
                <w:sz w:val="22"/>
                <w:szCs w:val="22"/>
              </w:rPr>
            </w:pPr>
            <w:r w:rsidRPr="00154566">
              <w:rPr>
                <w:rFonts w:ascii="FreeSans" w:hAnsi="FreeSans" w:cs="Arial"/>
                <w:sz w:val="22"/>
                <w:szCs w:val="22"/>
              </w:rPr>
              <w:t xml:space="preserve">Em caso de um número superior de propostas, em relação as vagas disponibilizadas, as propostas serão encaminhadas ao Comitê Gestor de Políticas Culturais de </w:t>
            </w:r>
            <w:proofErr w:type="spellStart"/>
            <w:r w:rsidRPr="00154566">
              <w:rPr>
                <w:rFonts w:ascii="FreeSans" w:hAnsi="FreeSans" w:cs="Arial"/>
                <w:sz w:val="22"/>
                <w:szCs w:val="22"/>
              </w:rPr>
              <w:t>Candiota</w:t>
            </w:r>
            <w:proofErr w:type="spellEnd"/>
            <w:r w:rsidRPr="00154566">
              <w:rPr>
                <w:rFonts w:ascii="FreeSans" w:hAnsi="FreeSans" w:cs="Arial"/>
                <w:sz w:val="22"/>
                <w:szCs w:val="22"/>
              </w:rPr>
              <w:t>, que de forma voluntária, com base na proposta do projeto, selecionará as propostas.</w:t>
            </w:r>
          </w:p>
          <w:p w:rsidR="007875F0" w:rsidRDefault="007875F0">
            <w:pPr>
              <w:pStyle w:val="TableContents"/>
              <w:tabs>
                <w:tab w:val="left" w:pos="1525"/>
              </w:tabs>
              <w:spacing w:line="325" w:lineRule="atLeast"/>
              <w:jc w:val="both"/>
              <w:rPr>
                <w:rFonts w:ascii="FreeSans" w:hAnsi="FreeSans" w:cs="Arial"/>
              </w:rPr>
            </w:pPr>
          </w:p>
        </w:tc>
      </w:tr>
    </w:tbl>
    <w:p w:rsidR="007875F0" w:rsidRDefault="007875F0">
      <w:pPr>
        <w:pStyle w:val="Textbody"/>
        <w:spacing w:after="0" w:line="323" w:lineRule="atLeast"/>
      </w:pPr>
    </w:p>
    <w:p w:rsidR="00154566" w:rsidRDefault="00154566">
      <w:pPr>
        <w:pStyle w:val="Textbody"/>
        <w:spacing w:after="0" w:line="323" w:lineRule="atLeast"/>
      </w:pPr>
    </w:p>
    <w:tbl>
      <w:tblPr>
        <w:tblW w:w="10505" w:type="dxa"/>
        <w:tblInd w:w="-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5"/>
      </w:tblGrid>
      <w:tr w:rsidR="007875F0"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Do regramento de participação e Vedações</w:t>
            </w:r>
          </w:p>
        </w:tc>
      </w:tr>
      <w:tr w:rsidR="007875F0">
        <w:tc>
          <w:tcPr>
            <w:tcW w:w="10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Pr="00154566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566">
              <w:rPr>
                <w:rFonts w:ascii="Arial" w:hAnsi="Arial" w:cs="Arial"/>
                <w:sz w:val="22"/>
                <w:szCs w:val="22"/>
              </w:rPr>
              <w:t>São critérios para possíveis contratações na área artística e técnica:</w:t>
            </w:r>
          </w:p>
          <w:p w:rsidR="00154566" w:rsidRPr="00154566" w:rsidRDefault="00154566">
            <w:pPr>
              <w:pStyle w:val="PargrafodaLista"/>
              <w:tabs>
                <w:tab w:val="left" w:pos="628"/>
              </w:tabs>
              <w:spacing w:before="48" w:line="278" w:lineRule="auto"/>
              <w:ind w:left="0"/>
              <w:jc w:val="left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217435">
            <w:pPr>
              <w:pStyle w:val="PargrafodaLista"/>
              <w:tabs>
                <w:tab w:val="left" w:pos="628"/>
              </w:tabs>
              <w:spacing w:before="48" w:line="278" w:lineRule="auto"/>
              <w:ind w:left="0"/>
              <w:jc w:val="left"/>
              <w:rPr>
                <w:rFonts w:ascii="FreeSans" w:hAnsi="FreeSans"/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 xml:space="preserve"> a) Artistas e técnicos que não tenham sido contemplados nos Editais de Premiação Municipal Lei Aldir Blanc nº 001 – 002 e 003</w:t>
            </w:r>
          </w:p>
          <w:p w:rsidR="007875F0" w:rsidRPr="00154566" w:rsidRDefault="007875F0">
            <w:pPr>
              <w:pStyle w:val="Textbody"/>
              <w:tabs>
                <w:tab w:val="left" w:pos="610"/>
              </w:tabs>
              <w:spacing w:before="4" w:after="0" w:line="276" w:lineRule="auto"/>
              <w:ind w:left="164" w:right="185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217435">
            <w:pPr>
              <w:pStyle w:val="Textbody"/>
              <w:tabs>
                <w:tab w:val="left" w:pos="446"/>
              </w:tabs>
              <w:spacing w:before="4" w:after="0" w:line="276" w:lineRule="auto"/>
              <w:ind w:right="185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 xml:space="preserve">b) Não estejam recebendo recursos via Edital da Lei Aldir Blanc no município </w:t>
            </w:r>
            <w:r w:rsidR="0028088F" w:rsidRPr="00154566">
              <w:rPr>
                <w:rFonts w:ascii="FreeSans" w:hAnsi="FreeSans"/>
                <w:sz w:val="22"/>
                <w:szCs w:val="22"/>
              </w:rPr>
              <w:t>de</w:t>
            </w:r>
            <w:r w:rsidR="0028088F" w:rsidRPr="00154566">
              <w:rPr>
                <w:rFonts w:ascii="FreeSans" w:hAnsi="FreeSans"/>
                <w:spacing w:val="-41"/>
                <w:sz w:val="22"/>
                <w:szCs w:val="22"/>
              </w:rPr>
              <w:t xml:space="preserve"> </w:t>
            </w:r>
            <w:proofErr w:type="spellStart"/>
            <w:r w:rsidR="0028088F" w:rsidRPr="00154566">
              <w:rPr>
                <w:rFonts w:ascii="FreeSans" w:hAnsi="FreeSans"/>
                <w:sz w:val="22"/>
                <w:szCs w:val="22"/>
              </w:rPr>
              <w:t>Candiota</w:t>
            </w:r>
            <w:proofErr w:type="spellEnd"/>
            <w:r w:rsidRPr="00154566">
              <w:rPr>
                <w:rFonts w:ascii="FreeSans" w:hAnsi="FreeSans"/>
                <w:sz w:val="22"/>
                <w:szCs w:val="22"/>
              </w:rPr>
              <w:t>;</w:t>
            </w:r>
          </w:p>
          <w:p w:rsidR="007875F0" w:rsidRPr="00154566" w:rsidRDefault="007875F0">
            <w:pPr>
              <w:pStyle w:val="Textbody"/>
              <w:tabs>
                <w:tab w:val="left" w:pos="598"/>
              </w:tabs>
              <w:spacing w:before="48" w:after="0"/>
              <w:ind w:left="164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217435">
            <w:pPr>
              <w:pStyle w:val="Textbody"/>
              <w:tabs>
                <w:tab w:val="left" w:pos="434"/>
              </w:tabs>
              <w:spacing w:before="48" w:after="0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 xml:space="preserve">c) </w:t>
            </w:r>
            <w:r w:rsidR="00154566" w:rsidRPr="00154566">
              <w:rPr>
                <w:rFonts w:ascii="FreeSans" w:hAnsi="FreeSans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Preencham os pré-requisitos legais, tais como: Certidões</w:t>
            </w:r>
            <w:r w:rsidRPr="00154566">
              <w:rPr>
                <w:rFonts w:ascii="FreeSans" w:hAnsi="FreeSans"/>
                <w:spacing w:val="-3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negativas;</w:t>
            </w:r>
          </w:p>
          <w:p w:rsidR="007875F0" w:rsidRPr="00154566" w:rsidRDefault="007875F0">
            <w:pPr>
              <w:pStyle w:val="Textbody"/>
              <w:tabs>
                <w:tab w:val="left" w:pos="697"/>
              </w:tabs>
              <w:spacing w:before="50" w:after="0" w:line="276" w:lineRule="auto"/>
              <w:ind w:left="165" w:right="178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154566">
            <w:pPr>
              <w:pStyle w:val="Textbody"/>
              <w:tabs>
                <w:tab w:val="left" w:pos="532"/>
              </w:tabs>
              <w:spacing w:before="50" w:after="0" w:line="276" w:lineRule="auto"/>
              <w:ind w:right="178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d)</w:t>
            </w:r>
            <w:r w:rsidR="00217435" w:rsidRPr="00154566">
              <w:rPr>
                <w:rFonts w:ascii="FreeSans" w:hAnsi="FreeSans"/>
                <w:sz w:val="22"/>
                <w:szCs w:val="22"/>
              </w:rPr>
              <w:t xml:space="preserve"> Respondam a solicitação de propostas da Secretaria Municipal de Cultura, com base no </w:t>
            </w:r>
            <w:r w:rsidR="00217435" w:rsidRPr="00154566">
              <w:rPr>
                <w:rFonts w:ascii="FreeSans" w:hAnsi="FreeSans"/>
                <w:spacing w:val="-6"/>
                <w:sz w:val="22"/>
                <w:szCs w:val="22"/>
              </w:rPr>
              <w:t xml:space="preserve">Termo </w:t>
            </w:r>
            <w:r w:rsidR="00217435" w:rsidRPr="00154566">
              <w:rPr>
                <w:rFonts w:ascii="FreeSans" w:hAnsi="FreeSans"/>
                <w:sz w:val="22"/>
                <w:szCs w:val="22"/>
              </w:rPr>
              <w:t>de Referência para cada serviço a ser</w:t>
            </w:r>
            <w:r w:rsidR="00217435" w:rsidRPr="00154566">
              <w:rPr>
                <w:rFonts w:ascii="FreeSans" w:hAnsi="FreeSans"/>
                <w:spacing w:val="-13"/>
                <w:sz w:val="22"/>
                <w:szCs w:val="22"/>
              </w:rPr>
              <w:t xml:space="preserve"> </w:t>
            </w:r>
            <w:r w:rsidR="00217435" w:rsidRPr="00154566">
              <w:rPr>
                <w:rFonts w:ascii="FreeSans" w:hAnsi="FreeSans"/>
                <w:sz w:val="22"/>
                <w:szCs w:val="22"/>
              </w:rPr>
              <w:t>contrato;</w:t>
            </w:r>
          </w:p>
          <w:p w:rsidR="007875F0" w:rsidRPr="00154566" w:rsidRDefault="007875F0">
            <w:pPr>
              <w:pStyle w:val="Textbody"/>
              <w:tabs>
                <w:tab w:val="left" w:pos="633"/>
              </w:tabs>
              <w:spacing w:before="4" w:after="0" w:line="276" w:lineRule="auto"/>
              <w:ind w:left="165" w:right="183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217435">
            <w:pPr>
              <w:pStyle w:val="Textbody"/>
              <w:tabs>
                <w:tab w:val="left" w:pos="468"/>
              </w:tabs>
              <w:spacing w:before="4" w:after="0" w:line="276" w:lineRule="auto"/>
              <w:ind w:right="183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e) No caso de pessoa jurídica, apresente o CNAE específico para o serviço proposto e/ou</w:t>
            </w:r>
            <w:r w:rsidRPr="00154566">
              <w:rPr>
                <w:rFonts w:ascii="FreeSans" w:hAnsi="FreeSans"/>
                <w:spacing w:val="-2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solicitado;</w:t>
            </w:r>
          </w:p>
          <w:p w:rsidR="007875F0" w:rsidRPr="00154566" w:rsidRDefault="007875F0">
            <w:pPr>
              <w:pStyle w:val="Textbody"/>
              <w:tabs>
                <w:tab w:val="left" w:pos="759"/>
              </w:tabs>
              <w:spacing w:before="4" w:after="0"/>
              <w:ind w:left="379" w:hanging="215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28088F">
            <w:pPr>
              <w:pStyle w:val="Textbody"/>
              <w:tabs>
                <w:tab w:val="left" w:pos="380"/>
              </w:tabs>
              <w:spacing w:before="4" w:after="0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f) Comprove</w:t>
            </w:r>
            <w:r w:rsidR="00217435" w:rsidRPr="00154566">
              <w:rPr>
                <w:rFonts w:ascii="FreeSans" w:hAnsi="FreeSans"/>
                <w:sz w:val="22"/>
                <w:szCs w:val="22"/>
              </w:rPr>
              <w:t xml:space="preserve"> por auto declaração que atua no setor</w:t>
            </w:r>
            <w:r w:rsidR="00217435" w:rsidRPr="00154566">
              <w:rPr>
                <w:rFonts w:ascii="FreeSans" w:hAnsi="FreeSans"/>
                <w:spacing w:val="-7"/>
                <w:sz w:val="22"/>
                <w:szCs w:val="22"/>
              </w:rPr>
              <w:t xml:space="preserve"> </w:t>
            </w:r>
            <w:r w:rsidR="00217435" w:rsidRPr="00154566">
              <w:rPr>
                <w:rFonts w:ascii="FreeSans" w:hAnsi="FreeSans"/>
                <w:sz w:val="22"/>
                <w:szCs w:val="22"/>
              </w:rPr>
              <w:t>cultural;</w:t>
            </w:r>
          </w:p>
          <w:p w:rsidR="007875F0" w:rsidRPr="00154566" w:rsidRDefault="007875F0">
            <w:pPr>
              <w:pStyle w:val="Textbody"/>
              <w:tabs>
                <w:tab w:val="left" w:pos="647"/>
              </w:tabs>
              <w:spacing w:before="48" w:after="0" w:line="278" w:lineRule="auto"/>
              <w:ind w:left="165" w:right="193"/>
              <w:rPr>
                <w:rFonts w:ascii="FreeSans" w:hAnsi="FreeSans"/>
                <w:sz w:val="22"/>
                <w:szCs w:val="22"/>
              </w:rPr>
            </w:pPr>
          </w:p>
          <w:p w:rsidR="007875F0" w:rsidRPr="00154566" w:rsidRDefault="00217435">
            <w:pPr>
              <w:pStyle w:val="Textbody"/>
              <w:tabs>
                <w:tab w:val="left" w:pos="482"/>
              </w:tabs>
              <w:spacing w:before="48" w:after="0" w:line="278" w:lineRule="auto"/>
              <w:ind w:right="193"/>
              <w:rPr>
                <w:sz w:val="22"/>
                <w:szCs w:val="22"/>
              </w:rPr>
            </w:pPr>
            <w:r w:rsidRPr="00154566">
              <w:rPr>
                <w:rFonts w:ascii="FreeSans" w:hAnsi="FreeSans"/>
                <w:sz w:val="22"/>
                <w:szCs w:val="22"/>
              </w:rPr>
              <w:t>g) O produto ou bem não seja em benefício direto do ente público, e sim voltado a comunidade em</w:t>
            </w:r>
            <w:r w:rsidRPr="00154566">
              <w:rPr>
                <w:rFonts w:ascii="FreeSans" w:hAnsi="FreeSans"/>
                <w:spacing w:val="1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/>
                <w:sz w:val="22"/>
                <w:szCs w:val="22"/>
              </w:rPr>
              <w:t>geral;</w:t>
            </w:r>
          </w:p>
          <w:p w:rsidR="007875F0" w:rsidRPr="00154566" w:rsidRDefault="007875F0">
            <w:pPr>
              <w:pStyle w:val="Textbody"/>
              <w:tabs>
                <w:tab w:val="left" w:pos="647"/>
              </w:tabs>
              <w:spacing w:before="48" w:after="0" w:line="278" w:lineRule="auto"/>
              <w:ind w:left="165" w:right="193"/>
              <w:rPr>
                <w:rFonts w:ascii="FreeSans" w:hAnsi="FreeSans"/>
                <w:sz w:val="22"/>
                <w:szCs w:val="22"/>
              </w:rPr>
            </w:pPr>
          </w:p>
          <w:p w:rsidR="007875F0" w:rsidRDefault="00217435">
            <w:pPr>
              <w:pStyle w:val="Textbody"/>
              <w:tabs>
                <w:tab w:val="left" w:pos="474"/>
              </w:tabs>
              <w:spacing w:after="0" w:line="278" w:lineRule="auto"/>
              <w:ind w:right="179"/>
            </w:pPr>
            <w:r w:rsidRPr="00154566">
              <w:rPr>
                <w:rFonts w:ascii="FreeSans" w:hAnsi="FreeSans" w:cs="Arial"/>
                <w:sz w:val="22"/>
                <w:szCs w:val="22"/>
              </w:rPr>
              <w:t>h) Fica vedado um mesmo prestador de serviço prestar mais de um serviço, ficando limitado a serviço artístico ou de infraestrutura do projeto, com fornecimento de equipamentos, locais recursos técnicos de execução do</w:t>
            </w:r>
            <w:r w:rsidRPr="00154566">
              <w:rPr>
                <w:rFonts w:ascii="FreeSans" w:hAnsi="FreeSans" w:cs="Arial"/>
                <w:spacing w:val="-7"/>
                <w:sz w:val="22"/>
                <w:szCs w:val="22"/>
              </w:rPr>
              <w:t xml:space="preserve"> </w:t>
            </w:r>
            <w:r w:rsidRPr="00154566">
              <w:rPr>
                <w:rFonts w:ascii="FreeSans" w:hAnsi="FreeSans" w:cs="Arial"/>
                <w:sz w:val="22"/>
                <w:szCs w:val="22"/>
              </w:rPr>
              <w:t>projeto.</w:t>
            </w:r>
          </w:p>
        </w:tc>
      </w:tr>
    </w:tbl>
    <w:p w:rsidR="007875F0" w:rsidRDefault="007875F0">
      <w:pPr>
        <w:pStyle w:val="Textbody"/>
        <w:spacing w:after="0" w:line="323" w:lineRule="atLeast"/>
      </w:pPr>
    </w:p>
    <w:p w:rsidR="00154566" w:rsidRDefault="00154566">
      <w:pPr>
        <w:pStyle w:val="Textbody"/>
        <w:spacing w:after="0" w:line="323" w:lineRule="atLeast"/>
      </w:pPr>
    </w:p>
    <w:tbl>
      <w:tblPr>
        <w:tblW w:w="10529" w:type="dxa"/>
        <w:tblInd w:w="-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9"/>
      </w:tblGrid>
      <w:tr w:rsidR="007875F0"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Dos recursos disponíveis</w:t>
            </w:r>
          </w:p>
        </w:tc>
      </w:tr>
      <w:tr w:rsidR="007875F0">
        <w:tc>
          <w:tcPr>
            <w:tcW w:w="10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before="106" w:after="0" w:line="278" w:lineRule="auto"/>
              <w:ind w:left="165" w:right="165" w:firstLine="141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Os recursos a serem utilizados são os previsto no Plano de Ação, de R$ 48.304,86 (quarenta e oito mil, trezentos e quatro reais e seis centavos), até o esgotamento dos recursos oriundo da Lei Federal nº 14.017/2020 - Lei Aldir Blanc, no montante de R$ 78.304,86 (setenta e oito mil, trezentos e quatro reais e seis centavos).</w:t>
            </w:r>
          </w:p>
        </w:tc>
      </w:tr>
    </w:tbl>
    <w:p w:rsidR="007875F0" w:rsidRDefault="007875F0">
      <w:pPr>
        <w:pStyle w:val="Standard"/>
        <w:spacing w:line="323" w:lineRule="atLeast"/>
      </w:pPr>
    </w:p>
    <w:p w:rsidR="00154566" w:rsidRDefault="00154566">
      <w:pPr>
        <w:pStyle w:val="Standard"/>
        <w:spacing w:line="323" w:lineRule="atLeast"/>
      </w:pPr>
    </w:p>
    <w:tbl>
      <w:tblPr>
        <w:tblW w:w="10529" w:type="dxa"/>
        <w:tblInd w:w="-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9"/>
      </w:tblGrid>
      <w:tr w:rsidR="007875F0">
        <w:tc>
          <w:tcPr>
            <w:tcW w:w="10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Da Forma de execução e teto de valores</w:t>
            </w:r>
          </w:p>
        </w:tc>
      </w:tr>
      <w:tr w:rsidR="007875F0">
        <w:tc>
          <w:tcPr>
            <w:tcW w:w="10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7875F0" w:rsidRDefault="00217435">
            <w:pPr>
              <w:pStyle w:val="TableContents"/>
              <w:spacing w:line="325" w:lineRule="atLeast"/>
              <w:ind w:firstLine="14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formato de execução será através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diversas, música, artes cênicas, tradição e folclore, artes visuais, áudio visual, artesanato, cultura popular, literatura, patrimônio imaterial, e demais áreas da cultura. Sendo que 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poderão ser de: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Apresentações artísticas;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b) Workshop, oficinas e cursos;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palestras culturais, denominados bate-papos culturais;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Exposições virtuais;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e) Lançamentos e produções e obras culturais e artísticas.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f)  Festivais e/ou mostras produzidas para reprodução em redes sociais;</w:t>
            </w:r>
          </w:p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g) Aquisição de bens culturais para distribuição a entidades culturais.</w:t>
            </w:r>
          </w:p>
          <w:p w:rsidR="007875F0" w:rsidRDefault="00217435" w:rsidP="0028088F">
            <w:pPr>
              <w:pStyle w:val="TableContents"/>
              <w:spacing w:line="325" w:lineRule="atLeast"/>
              <w:ind w:firstLine="1417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 valor médio por apresentação para pessoas físicas e jurídicas fica pré</w:t>
            </w:r>
            <w:r w:rsidR="0028088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estabelecidos,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levando em conta o valor máximo estabelecido para cada item, bem como o valor disponível para serviços de </w:t>
            </w:r>
            <w:r w:rsidR="0028088F">
              <w:rPr>
                <w:rFonts w:ascii="Arial" w:hAnsi="Arial" w:cs="Arial"/>
                <w:sz w:val="22"/>
                <w:szCs w:val="22"/>
              </w:rPr>
              <w:t>infraestrutura</w:t>
            </w:r>
            <w:r>
              <w:rPr>
                <w:rFonts w:ascii="Arial" w:hAnsi="Arial" w:cs="Arial"/>
                <w:sz w:val="22"/>
                <w:szCs w:val="22"/>
              </w:rPr>
              <w:t xml:space="preserve"> e aquisição de bens.</w:t>
            </w:r>
          </w:p>
        </w:tc>
      </w:tr>
    </w:tbl>
    <w:p w:rsidR="00154566" w:rsidRDefault="00154566">
      <w:pPr>
        <w:pStyle w:val="Standard"/>
        <w:spacing w:after="57" w:line="325" w:lineRule="atLeast"/>
        <w:jc w:val="center"/>
        <w:rPr>
          <w:rFonts w:ascii="Arial" w:hAnsi="Arial" w:cs="Arial"/>
          <w:b/>
          <w:bCs/>
        </w:rPr>
      </w:pPr>
    </w:p>
    <w:p w:rsidR="00154566" w:rsidRDefault="00217435">
      <w:pPr>
        <w:pStyle w:val="Standard"/>
        <w:spacing w:after="57" w:line="325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MEMORIAL DESCRITIVO DE APRESENTAÇÕES CULTURAIS E ARTÍSTICAS</w:t>
      </w:r>
    </w:p>
    <w:p w:rsidR="00154566" w:rsidRDefault="00154566">
      <w:pPr>
        <w:pStyle w:val="Standard"/>
        <w:spacing w:after="57" w:line="325" w:lineRule="atLeast"/>
        <w:jc w:val="center"/>
        <w:rPr>
          <w:rFonts w:ascii="Arial" w:hAnsi="Arial" w:cs="Arial"/>
          <w:b/>
          <w:bCs/>
        </w:rPr>
      </w:pPr>
    </w:p>
    <w:tbl>
      <w:tblPr>
        <w:tblW w:w="10565" w:type="dxa"/>
        <w:tblInd w:w="-4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5"/>
        <w:gridCol w:w="1770"/>
        <w:gridCol w:w="2240"/>
      </w:tblGrid>
      <w:tr w:rsidR="007875F0"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 Grade de serviços Culturais e Artísticos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7875F0">
            <w:pPr>
              <w:pStyle w:val="Textbody"/>
              <w:snapToGrid w:val="0"/>
              <w:spacing w:after="0" w:line="325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  <w:p w:rsidR="007875F0" w:rsidRDefault="00217435">
            <w:pPr>
              <w:pStyle w:val="Textbody"/>
              <w:spacing w:after="0" w:line="3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média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Valor Máximo  Unitário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Lives</w:t>
            </w:r>
            <w:proofErr w:type="spellEnd"/>
            <w:r>
              <w:rPr>
                <w:rFonts w:ascii="FreeSans" w:hAnsi="FreeSans" w:cs="FreeSans"/>
                <w:sz w:val="22"/>
                <w:szCs w:val="22"/>
              </w:rPr>
              <w:t xml:space="preserve"> musicais , para apresentação em local pré-determinado, com ou sem o fornecimento da estrutura técnica de transmissão via internet.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 w:rsidP="0028088F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R$ </w:t>
            </w:r>
            <w:r w:rsidR="0028088F">
              <w:rPr>
                <w:rFonts w:ascii="FreeSans" w:hAnsi="FreeSans" w:cs="FreeSans"/>
                <w:sz w:val="22"/>
                <w:szCs w:val="22"/>
              </w:rPr>
              <w:t>4</w:t>
            </w:r>
            <w:r>
              <w:rPr>
                <w:rFonts w:ascii="FreeSans" w:hAnsi="FreeSans" w:cs="FreeSans"/>
                <w:sz w:val="22"/>
                <w:szCs w:val="22"/>
              </w:rPr>
              <w:t>.000,00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Produção de audiovisual, com proposta diversa, para apresentação em plataforma digital gratuita (Facebook ou YouTube).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R$ 3.500,00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Palestras (bate-papo cultural), com temática cultural diversa, para apresentação em local pré-determinado, com ou sem o fornecimento da estrutura técnica de transmissão via internet.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R$ 2.800,00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Espetáculo de artes cênicas (dança), para apresentação em local pré-determinado, com ou sem o fornecimento da estrutura técnica de transmissão via internet.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R$ 3.000,00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Exposição virtual de artes plásticas, para apresentação em local pré-determinado, com ou sem o fornecimento da estrutura técnica de transmissão via internet.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 w:rsidP="0028088F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R$ </w:t>
            </w:r>
            <w:r w:rsidR="0028088F">
              <w:rPr>
                <w:rFonts w:ascii="FreeSans" w:hAnsi="FreeSans" w:cs="FreeSans"/>
                <w:sz w:val="22"/>
                <w:szCs w:val="22"/>
              </w:rPr>
              <w:t>2.000</w:t>
            </w:r>
            <w:r>
              <w:rPr>
                <w:rFonts w:ascii="FreeSans" w:hAnsi="FreeSans" w:cs="FreeSans"/>
                <w:sz w:val="22"/>
                <w:szCs w:val="22"/>
              </w:rPr>
              <w:t>,00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Recitais literários e poéticos, para apresentação em local </w:t>
            </w:r>
            <w:proofErr w:type="spellStart"/>
            <w:r>
              <w:rPr>
                <w:rFonts w:ascii="FreeSans" w:hAnsi="FreeSans" w:cs="FreeSans"/>
                <w:sz w:val="22"/>
                <w:szCs w:val="22"/>
              </w:rPr>
              <w:t>pré</w:t>
            </w:r>
            <w:proofErr w:type="spellEnd"/>
            <w:r w:rsidR="0028088F">
              <w:rPr>
                <w:rFonts w:ascii="FreeSans" w:hAnsi="FreeSans" w:cs="FreeSans"/>
                <w:sz w:val="22"/>
                <w:szCs w:val="22"/>
              </w:rPr>
              <w:t>-</w:t>
            </w:r>
            <w:r>
              <w:rPr>
                <w:rFonts w:ascii="FreeSans" w:hAnsi="FreeSans" w:cs="FreeSans"/>
                <w:sz w:val="22"/>
                <w:szCs w:val="22"/>
              </w:rPr>
              <w:t xml:space="preserve"> determinado, com ou sem o fornecimento da estrutura técnica de transmissão via internet.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R$ 2.500,00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 w:rsidP="00B93653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lastRenderedPageBreak/>
              <w:t xml:space="preserve">Festivais e/ou mostras Virtuais de seguimentos </w:t>
            </w:r>
            <w:proofErr w:type="gramStart"/>
            <w:r>
              <w:rPr>
                <w:rFonts w:ascii="FreeSans" w:hAnsi="FreeSans" w:cs="FreeSans"/>
                <w:sz w:val="22"/>
                <w:szCs w:val="22"/>
              </w:rPr>
              <w:t>culturais,</w:t>
            </w:r>
            <w:r w:rsidR="00B93653">
              <w:rPr>
                <w:rFonts w:ascii="FreeSans" w:hAnsi="FreeSans" w:cs="FreeSans"/>
                <w:sz w:val="22"/>
                <w:szCs w:val="22"/>
              </w:rPr>
              <w:t>(</w:t>
            </w:r>
            <w:proofErr w:type="gramEnd"/>
            <w:r>
              <w:rPr>
                <w:rFonts w:ascii="FreeSans" w:hAnsi="FreeSans" w:cs="FreeSans"/>
                <w:sz w:val="22"/>
                <w:szCs w:val="22"/>
              </w:rPr>
              <w:t xml:space="preserve">dança, teatro, </w:t>
            </w:r>
            <w:r w:rsidR="0028088F">
              <w:rPr>
                <w:rFonts w:ascii="FreeSans" w:hAnsi="FreeSans" w:cs="FreeSans"/>
                <w:sz w:val="22"/>
                <w:szCs w:val="22"/>
              </w:rPr>
              <w:t>música</w:t>
            </w:r>
            <w:r>
              <w:rPr>
                <w:rFonts w:ascii="FreeSans" w:hAnsi="FreeSans" w:cs="FreeSans"/>
                <w:sz w:val="22"/>
                <w:szCs w:val="22"/>
              </w:rPr>
              <w:t>, entre outras</w:t>
            </w:r>
            <w:r w:rsidR="00B93653">
              <w:rPr>
                <w:rFonts w:ascii="FreeSans" w:hAnsi="FreeSans" w:cs="FreeSans"/>
                <w:sz w:val="22"/>
                <w:szCs w:val="22"/>
              </w:rPr>
              <w:t>)</w:t>
            </w:r>
            <w:r>
              <w:rPr>
                <w:rFonts w:ascii="FreeSans" w:hAnsi="FreeSans" w:cs="FreeSans"/>
                <w:sz w:val="22"/>
                <w:szCs w:val="22"/>
              </w:rPr>
              <w:t xml:space="preserve">. </w:t>
            </w:r>
            <w:r w:rsidR="0028088F">
              <w:rPr>
                <w:rFonts w:ascii="FreeSans" w:hAnsi="FreeSans" w:cs="FreeSans"/>
                <w:sz w:val="22"/>
                <w:szCs w:val="22"/>
              </w:rPr>
              <w:t>Para</w:t>
            </w:r>
            <w:r>
              <w:rPr>
                <w:rFonts w:ascii="FreeSans" w:hAnsi="FreeSans" w:cs="FreeSans"/>
                <w:sz w:val="22"/>
                <w:szCs w:val="22"/>
              </w:rPr>
              <w:t xml:space="preserve"> apresentação</w:t>
            </w:r>
            <w:r w:rsidR="0028088F">
              <w:rPr>
                <w:rFonts w:ascii="FreeSans" w:hAnsi="FreeSans" w:cs="FreeSans"/>
                <w:sz w:val="22"/>
                <w:szCs w:val="22"/>
              </w:rPr>
              <w:t xml:space="preserve"> em local pré-</w:t>
            </w:r>
            <w:r>
              <w:rPr>
                <w:rFonts w:ascii="FreeSans" w:hAnsi="FreeSans" w:cs="FreeSans"/>
                <w:sz w:val="22"/>
                <w:szCs w:val="22"/>
              </w:rPr>
              <w:t xml:space="preserve">determinado, </w:t>
            </w:r>
            <w:r w:rsidR="0028088F">
              <w:rPr>
                <w:rFonts w:ascii="FreeSans" w:hAnsi="FreeSans" w:cs="FreeSans"/>
                <w:sz w:val="22"/>
                <w:szCs w:val="22"/>
              </w:rPr>
              <w:t>com o</w:t>
            </w:r>
            <w:r>
              <w:rPr>
                <w:rFonts w:ascii="FreeSans" w:hAnsi="FreeSans" w:cs="FreeSans"/>
                <w:sz w:val="22"/>
                <w:szCs w:val="22"/>
              </w:rPr>
              <w:t xml:space="preserve"> fornecimento da estrutura técnica de transmissão via internet. Apresentação mínima de 03 atrações artísticas.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 w:rsidP="00B93653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 xml:space="preserve">R$ </w:t>
            </w:r>
            <w:r w:rsidR="00B93653">
              <w:rPr>
                <w:rFonts w:ascii="FreeSans" w:hAnsi="FreeSans" w:cs="FreeSans"/>
                <w:sz w:val="22"/>
                <w:szCs w:val="22"/>
              </w:rPr>
              <w:t>1</w:t>
            </w:r>
            <w:r w:rsidR="005304ED">
              <w:rPr>
                <w:rFonts w:ascii="FreeSans" w:hAnsi="FreeSans" w:cs="FreeSans"/>
                <w:sz w:val="22"/>
                <w:szCs w:val="22"/>
              </w:rPr>
              <w:t>9</w:t>
            </w:r>
            <w:bookmarkStart w:id="0" w:name="_GoBack"/>
            <w:bookmarkEnd w:id="0"/>
            <w:r w:rsidR="00B93653">
              <w:rPr>
                <w:rFonts w:ascii="FreeSans" w:hAnsi="FreeSans" w:cs="FreeSans"/>
                <w:sz w:val="22"/>
                <w:szCs w:val="22"/>
              </w:rPr>
              <w:t>.000</w:t>
            </w:r>
            <w:r>
              <w:rPr>
                <w:rFonts w:ascii="FreeSans" w:hAnsi="FreeSans" w:cs="FreeSans"/>
                <w:sz w:val="22"/>
                <w:szCs w:val="22"/>
              </w:rPr>
              <w:t>,00</w:t>
            </w:r>
          </w:p>
        </w:tc>
      </w:tr>
      <w:tr w:rsidR="007875F0"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 w:rsidP="0028088F">
            <w:pPr>
              <w:pStyle w:val="TableContents"/>
              <w:spacing w:line="369" w:lineRule="atLeast"/>
              <w:jc w:val="both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Web seminários de áreas diversas da cultura, para apresentação em local pré</w:t>
            </w:r>
            <w:r w:rsidR="0028088F">
              <w:rPr>
                <w:rFonts w:ascii="FreeSans" w:hAnsi="FreeSans" w:cs="FreeSans"/>
                <w:sz w:val="22"/>
                <w:szCs w:val="22"/>
              </w:rPr>
              <w:t>-</w:t>
            </w:r>
            <w:r>
              <w:rPr>
                <w:rFonts w:ascii="FreeSans" w:hAnsi="FreeSans" w:cs="FreeSans"/>
                <w:sz w:val="22"/>
                <w:szCs w:val="22"/>
              </w:rPr>
              <w:t>determinado, com ou sem o fornecimento da estrutura técnica de transmissão via internet.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center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69" w:lineRule="atLeast"/>
              <w:jc w:val="right"/>
              <w:rPr>
                <w:rFonts w:ascii="FreeSans" w:hAnsi="FreeSans" w:cs="FreeSans"/>
                <w:sz w:val="22"/>
                <w:szCs w:val="22"/>
              </w:rPr>
            </w:pPr>
            <w:r>
              <w:rPr>
                <w:rFonts w:ascii="FreeSans" w:hAnsi="FreeSans" w:cs="FreeSans"/>
                <w:sz w:val="22"/>
                <w:szCs w:val="22"/>
              </w:rPr>
              <w:t>1.800,00</w:t>
            </w:r>
          </w:p>
        </w:tc>
      </w:tr>
      <w:tr w:rsidR="007875F0">
        <w:trPr>
          <w:trHeight w:val="430"/>
        </w:trPr>
        <w:tc>
          <w:tcPr>
            <w:tcW w:w="8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ind w:left="170" w:right="113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quantidade de apresentações poderá ser readequada para maior, dependendo da disponibilidade de recursos.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7875F0">
            <w:pPr>
              <w:pStyle w:val="TableContents"/>
              <w:snapToGrid w:val="0"/>
              <w:spacing w:line="325" w:lineRule="atLeast"/>
              <w:ind w:left="567" w:right="1134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875F0" w:rsidRDefault="007875F0">
      <w:pPr>
        <w:pStyle w:val="Standard"/>
        <w:spacing w:line="325" w:lineRule="atLeast"/>
      </w:pPr>
    </w:p>
    <w:p w:rsidR="00154566" w:rsidRDefault="00154566">
      <w:pPr>
        <w:pStyle w:val="Standard"/>
        <w:spacing w:line="325" w:lineRule="atLeast"/>
      </w:pPr>
    </w:p>
    <w:tbl>
      <w:tblPr>
        <w:tblW w:w="10529" w:type="dxa"/>
        <w:tblInd w:w="-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1920"/>
        <w:gridCol w:w="2399"/>
      </w:tblGrid>
      <w:tr w:rsidR="007875F0">
        <w:tc>
          <w:tcPr>
            <w:tcW w:w="8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 GRADE DE SERVIÇOS TÉCNICOS E AQUISIÇÃO DE BENS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7875F0">
            <w:pPr>
              <w:pStyle w:val="Textbody"/>
              <w:snapToGrid w:val="0"/>
              <w:spacing w:after="0" w:line="325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7875F0"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extbody"/>
              <w:spacing w:after="0" w:line="3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investimento  </w:t>
            </w:r>
          </w:p>
        </w:tc>
      </w:tr>
      <w:tr w:rsidR="007875F0"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 w:rsidP="00B93653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Equipamento técnico de vídeo e som de produção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com</w:t>
            </w:r>
            <w:r w:rsidR="00B93653">
              <w:rPr>
                <w:rFonts w:ascii="Arial" w:hAnsi="Arial" w:cs="Arial"/>
                <w:sz w:val="22"/>
                <w:szCs w:val="22"/>
              </w:rPr>
              <w:t xml:space="preserve"> ou sem</w:t>
            </w:r>
            <w:r>
              <w:rPr>
                <w:rFonts w:ascii="Arial" w:hAnsi="Arial" w:cs="Arial"/>
                <w:sz w:val="22"/>
                <w:szCs w:val="22"/>
              </w:rPr>
              <w:t xml:space="preserve"> o fornecimento de estúdio, para a produção mínima de </w:t>
            </w:r>
            <w:r w:rsidR="00B93653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93653">
              <w:rPr>
                <w:rFonts w:ascii="Arial" w:hAnsi="Arial" w:cs="Arial"/>
                <w:sz w:val="22"/>
                <w:szCs w:val="22"/>
              </w:rPr>
              <w:t>OITO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com duração mínima de 30 (trinta) minutos cada, em data acertada pelo contratante.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 w:rsidP="0028088F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 </w:t>
            </w:r>
            <w:r w:rsidR="0028088F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B93653"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B93653" w:rsidRDefault="00B93653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Serviço Técnico de Transmissão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Lives</w:t>
            </w:r>
            <w:proofErr w:type="spellEnd"/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B93653" w:rsidRDefault="00B93653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B93653" w:rsidRDefault="00B93653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R$ 4.000,00</w:t>
            </w:r>
          </w:p>
        </w:tc>
      </w:tr>
      <w:tr w:rsidR="007875F0"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Compra de equipamentos, livros, material para desenvolvimento de atividades culturais, destinados a entidades culturais ou  município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Candiota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R$ 1.000,00</w:t>
            </w:r>
          </w:p>
        </w:tc>
      </w:tr>
      <w:tr w:rsidR="007875F0">
        <w:tc>
          <w:tcPr>
            <w:tcW w:w="6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Serviços de produção e Assessoria técnica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7875F0" w:rsidRDefault="00217435">
            <w:pPr>
              <w:pStyle w:val="TableContents"/>
              <w:spacing w:line="3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Preço de mercado</w:t>
            </w:r>
          </w:p>
        </w:tc>
      </w:tr>
    </w:tbl>
    <w:p w:rsidR="007875F0" w:rsidRDefault="007875F0">
      <w:pPr>
        <w:pStyle w:val="Standard"/>
        <w:spacing w:line="325" w:lineRule="atLeast"/>
        <w:jc w:val="right"/>
      </w:pPr>
    </w:p>
    <w:p w:rsidR="00154566" w:rsidRDefault="00154566">
      <w:pPr>
        <w:pStyle w:val="Standard"/>
        <w:spacing w:line="325" w:lineRule="atLeast"/>
        <w:jc w:val="right"/>
      </w:pPr>
    </w:p>
    <w:tbl>
      <w:tblPr>
        <w:tblW w:w="10565" w:type="dxa"/>
        <w:tblInd w:w="-4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5"/>
      </w:tblGrid>
      <w:tr w:rsidR="007875F0"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5F0" w:rsidRDefault="00217435">
            <w:pPr>
              <w:pStyle w:val="Textbody"/>
              <w:spacing w:after="0" w:line="3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 CRONOGRAMA DE EXECUÇÃO</w:t>
            </w:r>
          </w:p>
        </w:tc>
      </w:tr>
      <w:tr w:rsidR="007875F0">
        <w:tc>
          <w:tcPr>
            <w:tcW w:w="10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5F0" w:rsidRDefault="00217435">
            <w:pPr>
              <w:pStyle w:val="TableContents"/>
              <w:spacing w:line="325" w:lineRule="atLeast"/>
              <w:ind w:firstLine="14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 cronograma de execução será estabelecido pela Secretaria Municipal de Cultura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Candiota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em comum acordo entre os participantes, levando em conta o número de propostas apresentadas.</w:t>
            </w:r>
          </w:p>
          <w:p w:rsidR="007875F0" w:rsidRDefault="00217435">
            <w:pPr>
              <w:pStyle w:val="Textbody"/>
              <w:spacing w:after="0" w:line="325" w:lineRule="atLeast"/>
              <w:ind w:firstLine="14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execução será da data de publicação deste projeto até 28 de dezembro de 2020.</w:t>
            </w:r>
          </w:p>
          <w:p w:rsidR="007875F0" w:rsidRDefault="007875F0">
            <w:pPr>
              <w:pStyle w:val="Textbody"/>
              <w:spacing w:after="0" w:line="325" w:lineRule="atLeast"/>
              <w:ind w:firstLine="14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875F0" w:rsidRDefault="007875F0">
      <w:pPr>
        <w:pStyle w:val="Standard"/>
        <w:jc w:val="right"/>
      </w:pPr>
    </w:p>
    <w:p w:rsidR="007875F0" w:rsidRDefault="00217435">
      <w:pPr>
        <w:pStyle w:val="Standard"/>
        <w:jc w:val="right"/>
        <w:rPr>
          <w:rFonts w:ascii="FreeSans" w:hAnsi="FreeSans"/>
          <w:sz w:val="22"/>
          <w:szCs w:val="22"/>
        </w:rPr>
      </w:pPr>
      <w:proofErr w:type="spellStart"/>
      <w:r>
        <w:rPr>
          <w:rFonts w:ascii="FreeSans" w:hAnsi="FreeSans"/>
          <w:sz w:val="22"/>
          <w:szCs w:val="22"/>
        </w:rPr>
        <w:t>Candiota</w:t>
      </w:r>
      <w:proofErr w:type="spellEnd"/>
      <w:r>
        <w:rPr>
          <w:rFonts w:ascii="FreeSans" w:hAnsi="FreeSans"/>
          <w:sz w:val="22"/>
          <w:szCs w:val="22"/>
        </w:rPr>
        <w:t>, 11 de dezembro de 2020.</w:t>
      </w:r>
    </w:p>
    <w:p w:rsidR="007875F0" w:rsidRDefault="007875F0">
      <w:pPr>
        <w:pStyle w:val="Standard"/>
        <w:rPr>
          <w:rFonts w:ascii="FreeSans" w:hAnsi="FreeSans"/>
          <w:sz w:val="22"/>
          <w:szCs w:val="22"/>
        </w:rPr>
      </w:pPr>
    </w:p>
    <w:p w:rsidR="007875F0" w:rsidRDefault="007875F0">
      <w:pPr>
        <w:pStyle w:val="Standard"/>
        <w:jc w:val="center"/>
        <w:rPr>
          <w:rFonts w:ascii="FreeSans" w:hAnsi="FreeSans"/>
          <w:sz w:val="22"/>
          <w:szCs w:val="22"/>
        </w:rPr>
      </w:pPr>
    </w:p>
    <w:p w:rsidR="00B93653" w:rsidRDefault="00217435" w:rsidP="00B93653">
      <w:pPr>
        <w:pStyle w:val="Standard"/>
        <w:jc w:val="center"/>
        <w:rPr>
          <w:rFonts w:ascii="FreeSans" w:hAnsi="FreeSans"/>
          <w:sz w:val="22"/>
          <w:szCs w:val="22"/>
        </w:rPr>
      </w:pPr>
      <w:r>
        <w:rPr>
          <w:rFonts w:ascii="FreeSans" w:hAnsi="FreeSans"/>
          <w:sz w:val="22"/>
          <w:szCs w:val="22"/>
        </w:rPr>
        <w:t>Adriano Castro dos Santos</w:t>
      </w:r>
    </w:p>
    <w:p w:rsidR="007875F0" w:rsidRDefault="00217435" w:rsidP="00B93653">
      <w:pPr>
        <w:pStyle w:val="Standard"/>
        <w:jc w:val="center"/>
        <w:rPr>
          <w:rFonts w:ascii="FreeSans" w:hAnsi="FreeSans" w:cs="Arial"/>
          <w:i/>
          <w:iCs/>
        </w:rPr>
      </w:pPr>
      <w:r>
        <w:rPr>
          <w:rFonts w:ascii="FreeSans" w:hAnsi="FreeSans" w:cs="Arial"/>
          <w:b/>
          <w:bCs/>
          <w:sz w:val="22"/>
          <w:szCs w:val="22"/>
        </w:rPr>
        <w:t xml:space="preserve">Prefeito de </w:t>
      </w:r>
      <w:proofErr w:type="spellStart"/>
      <w:r>
        <w:rPr>
          <w:rFonts w:ascii="FreeSans" w:hAnsi="FreeSans" w:cs="Arial"/>
          <w:b/>
          <w:bCs/>
          <w:sz w:val="22"/>
          <w:szCs w:val="22"/>
        </w:rPr>
        <w:t>Candiota</w:t>
      </w:r>
      <w:proofErr w:type="spellEnd"/>
    </w:p>
    <w:sectPr w:rsidR="007875F0">
      <w:headerReference w:type="default" r:id="rId7"/>
      <w:footerReference w:type="default" r:id="rId8"/>
      <w:pgSz w:w="11906" w:h="16838"/>
      <w:pgMar w:top="2057" w:right="1134" w:bottom="794" w:left="1134" w:header="113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F96" w:rsidRDefault="00F46F96">
      <w:r>
        <w:separator/>
      </w:r>
    </w:p>
  </w:endnote>
  <w:endnote w:type="continuationSeparator" w:id="0">
    <w:p w:rsidR="00F46F96" w:rsidRDefault="00F4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Free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20" w:rsidRDefault="00217435">
    <w:pPr>
      <w:pStyle w:val="Textbody"/>
      <w:spacing w:before="28" w:after="0" w:line="325" w:lineRule="atLeast"/>
      <w:jc w:val="center"/>
    </w:pPr>
    <w:r>
      <w:rPr>
        <w:rFonts w:ascii="Arial" w:eastAsia="Arial" w:hAnsi="Arial" w:cs="Arial"/>
        <w:b/>
        <w:bCs/>
        <w:sz w:val="16"/>
        <w:szCs w:val="16"/>
      </w:rPr>
      <w:t xml:space="preserve">                  </w:t>
    </w:r>
    <w:r>
      <w:rPr>
        <w:rFonts w:ascii="Arial" w:hAnsi="Arial" w:cs="Arial"/>
        <w:b/>
        <w:bCs/>
        <w:sz w:val="16"/>
        <w:szCs w:val="16"/>
      </w:rPr>
      <w:t>PROJETO FORTALECIMENTO DA CULTURA DE CANDIOTA</w:t>
    </w:r>
    <w:r>
      <w:rPr>
        <w:rFonts w:ascii="Arial" w:hAnsi="Arial" w:cs="Arial"/>
        <w:sz w:val="16"/>
        <w:szCs w:val="16"/>
      </w:rPr>
      <w:t xml:space="preserve"> - Lei Federal nº 14.017/2020 – Lei Aldir Blanc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B93653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F96" w:rsidRDefault="00F46F96">
      <w:r>
        <w:rPr>
          <w:color w:val="000000"/>
        </w:rPr>
        <w:separator/>
      </w:r>
    </w:p>
  </w:footnote>
  <w:footnote w:type="continuationSeparator" w:id="0">
    <w:p w:rsidR="00F46F96" w:rsidRDefault="00F4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66" w:rsidRDefault="00154566">
    <w:pPr>
      <w:pStyle w:val="Cabealho"/>
    </w:pPr>
    <w:r>
      <w:rPr>
        <w:noProof/>
        <w:lang w:eastAsia="pt-BR" w:bidi="ar-SA"/>
      </w:rPr>
      <w:drawing>
        <wp:inline distT="0" distB="0" distL="0" distR="0" wp14:anchorId="648E05DF" wp14:editId="37842BBB">
          <wp:extent cx="6115050" cy="9514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820" w:rsidRDefault="005304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A67"/>
    <w:multiLevelType w:val="multilevel"/>
    <w:tmpl w:val="7CB843FE"/>
    <w:styleLink w:val="WWNum1"/>
    <w:lvl w:ilvl="0">
      <w:start w:val="1"/>
      <w:numFmt w:val="lowerLetter"/>
      <w:lvlText w:val="%1)"/>
      <w:lvlJc w:val="left"/>
      <w:pPr>
        <w:ind w:left="166" w:hanging="290"/>
      </w:pPr>
      <w:rPr>
        <w:rFonts w:eastAsia="Arial" w:cs="Arial"/>
        <w:w w:val="100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1108" w:hanging="290"/>
      </w:pPr>
      <w:rPr>
        <w:lang w:val="pt-PT" w:eastAsia="pt-PT" w:bidi="pt-PT"/>
      </w:rPr>
    </w:lvl>
    <w:lvl w:ilvl="2">
      <w:numFmt w:val="bullet"/>
      <w:lvlText w:val="•"/>
      <w:lvlJc w:val="left"/>
      <w:pPr>
        <w:ind w:left="2056" w:hanging="290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3005" w:hanging="290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3953" w:hanging="290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902" w:hanging="290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850" w:hanging="290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798" w:hanging="290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747" w:hanging="290"/>
      </w:pPr>
      <w:rPr>
        <w:lang w:val="pt-PT" w:eastAsia="pt-PT" w:bidi="pt-PT"/>
      </w:rPr>
    </w:lvl>
  </w:abstractNum>
  <w:abstractNum w:abstractNumId="1" w15:restartNumberingAfterBreak="0">
    <w:nsid w:val="04F56B5C"/>
    <w:multiLevelType w:val="multilevel"/>
    <w:tmpl w:val="0A18C002"/>
    <w:styleLink w:val="WWNum3"/>
    <w:lvl w:ilvl="0">
      <w:start w:val="1"/>
      <w:numFmt w:val="lowerLetter"/>
      <w:lvlText w:val="%1)"/>
      <w:lvlJc w:val="left"/>
      <w:pPr>
        <w:ind w:left="166" w:hanging="276"/>
      </w:pPr>
      <w:rPr>
        <w:rFonts w:eastAsia="Arial" w:cs="Arial"/>
        <w:w w:val="100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1108" w:hanging="276"/>
      </w:pPr>
      <w:rPr>
        <w:lang w:val="pt-PT" w:eastAsia="pt-PT" w:bidi="pt-PT"/>
      </w:rPr>
    </w:lvl>
    <w:lvl w:ilvl="2">
      <w:numFmt w:val="bullet"/>
      <w:lvlText w:val="•"/>
      <w:lvlJc w:val="left"/>
      <w:pPr>
        <w:ind w:left="2056" w:hanging="276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3005" w:hanging="276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3953" w:hanging="276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902" w:hanging="276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850" w:hanging="276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798" w:hanging="276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747" w:hanging="276"/>
      </w:pPr>
      <w:rPr>
        <w:lang w:val="pt-PT" w:eastAsia="pt-PT" w:bidi="pt-PT"/>
      </w:rPr>
    </w:lvl>
  </w:abstractNum>
  <w:abstractNum w:abstractNumId="2" w15:restartNumberingAfterBreak="0">
    <w:nsid w:val="600C6A4A"/>
    <w:multiLevelType w:val="multilevel"/>
    <w:tmpl w:val="C57CB9B6"/>
    <w:styleLink w:val="WWNum2"/>
    <w:lvl w:ilvl="0">
      <w:start w:val="1"/>
      <w:numFmt w:val="lowerLetter"/>
      <w:lvlText w:val="%1)"/>
      <w:lvlJc w:val="left"/>
      <w:pPr>
        <w:ind w:left="286" w:hanging="342"/>
      </w:pPr>
      <w:rPr>
        <w:rFonts w:eastAsia="Arial" w:cs="Arial"/>
        <w:spacing w:val="-21"/>
        <w:w w:val="100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1240" w:hanging="342"/>
      </w:pPr>
      <w:rPr>
        <w:lang w:val="pt-PT" w:eastAsia="pt-PT" w:bidi="pt-PT"/>
      </w:rPr>
    </w:lvl>
    <w:lvl w:ilvl="2">
      <w:numFmt w:val="bullet"/>
      <w:lvlText w:val="•"/>
      <w:lvlJc w:val="left"/>
      <w:pPr>
        <w:ind w:left="2200" w:hanging="342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3160" w:hanging="342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4120" w:hanging="342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5080" w:hanging="342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6040" w:hanging="342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7000" w:hanging="342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960" w:hanging="342"/>
      </w:pPr>
      <w:rPr>
        <w:lang w:val="pt-PT" w:eastAsia="pt-PT" w:bidi="pt-PT"/>
      </w:rPr>
    </w:lvl>
  </w:abstractNum>
  <w:abstractNum w:abstractNumId="3" w15:restartNumberingAfterBreak="0">
    <w:nsid w:val="701651C0"/>
    <w:multiLevelType w:val="multilevel"/>
    <w:tmpl w:val="FD4843F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F0"/>
    <w:rsid w:val="00154566"/>
    <w:rsid w:val="00217435"/>
    <w:rsid w:val="0028088F"/>
    <w:rsid w:val="005304ED"/>
    <w:rsid w:val="007875F0"/>
    <w:rsid w:val="00B93653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F1A84"/>
  <w15:docId w15:val="{210B594F-0DE0-496A-9EB7-19B8CF96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PargrafodaLista">
    <w:name w:val="List Paragraph"/>
    <w:basedOn w:val="Standard"/>
    <w:pPr>
      <w:ind w:left="285" w:right="294"/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Arial" w:cs="Arial"/>
      <w:w w:val="100"/>
      <w:sz w:val="24"/>
      <w:szCs w:val="24"/>
      <w:lang w:val="pt-PT" w:eastAsia="pt-PT" w:bidi="pt-PT"/>
    </w:rPr>
  </w:style>
  <w:style w:type="character" w:customStyle="1" w:styleId="ListLabel2">
    <w:name w:val="ListLabel 2"/>
    <w:rPr>
      <w:lang w:val="pt-PT" w:eastAsia="pt-PT" w:bidi="pt-PT"/>
    </w:rPr>
  </w:style>
  <w:style w:type="character" w:customStyle="1" w:styleId="ListLabel3">
    <w:name w:val="ListLabel 3"/>
    <w:rPr>
      <w:lang w:val="pt-PT" w:eastAsia="pt-PT" w:bidi="pt-PT"/>
    </w:rPr>
  </w:style>
  <w:style w:type="character" w:customStyle="1" w:styleId="ListLabel4">
    <w:name w:val="ListLabel 4"/>
    <w:rPr>
      <w:lang w:val="pt-PT" w:eastAsia="pt-PT" w:bidi="pt-PT"/>
    </w:rPr>
  </w:style>
  <w:style w:type="character" w:customStyle="1" w:styleId="ListLabel5">
    <w:name w:val="ListLabel 5"/>
    <w:rPr>
      <w:lang w:val="pt-PT" w:eastAsia="pt-PT" w:bidi="pt-PT"/>
    </w:rPr>
  </w:style>
  <w:style w:type="character" w:customStyle="1" w:styleId="ListLabel6">
    <w:name w:val="ListLabel 6"/>
    <w:rPr>
      <w:lang w:val="pt-PT" w:eastAsia="pt-PT" w:bidi="pt-PT"/>
    </w:rPr>
  </w:style>
  <w:style w:type="character" w:customStyle="1" w:styleId="ListLabel7">
    <w:name w:val="ListLabel 7"/>
    <w:rPr>
      <w:lang w:val="pt-PT" w:eastAsia="pt-PT" w:bidi="pt-PT"/>
    </w:rPr>
  </w:style>
  <w:style w:type="character" w:customStyle="1" w:styleId="ListLabel8">
    <w:name w:val="ListLabel 8"/>
    <w:rPr>
      <w:lang w:val="pt-PT" w:eastAsia="pt-PT" w:bidi="pt-PT"/>
    </w:rPr>
  </w:style>
  <w:style w:type="character" w:customStyle="1" w:styleId="ListLabel9">
    <w:name w:val="ListLabel 9"/>
    <w:rPr>
      <w:lang w:val="pt-PT" w:eastAsia="pt-PT" w:bidi="pt-PT"/>
    </w:rPr>
  </w:style>
  <w:style w:type="character" w:customStyle="1" w:styleId="ListLabel10">
    <w:name w:val="ListLabel 10"/>
    <w:rPr>
      <w:rFonts w:eastAsia="Arial" w:cs="Arial"/>
      <w:spacing w:val="-21"/>
      <w:w w:val="100"/>
      <w:sz w:val="24"/>
      <w:szCs w:val="24"/>
      <w:lang w:val="pt-PT" w:eastAsia="pt-PT" w:bidi="pt-PT"/>
    </w:rPr>
  </w:style>
  <w:style w:type="character" w:customStyle="1" w:styleId="ListLabel11">
    <w:name w:val="ListLabel 11"/>
    <w:rPr>
      <w:lang w:val="pt-PT" w:eastAsia="pt-PT" w:bidi="pt-PT"/>
    </w:rPr>
  </w:style>
  <w:style w:type="character" w:customStyle="1" w:styleId="ListLabel12">
    <w:name w:val="ListLabel 12"/>
    <w:rPr>
      <w:lang w:val="pt-PT" w:eastAsia="pt-PT" w:bidi="pt-PT"/>
    </w:rPr>
  </w:style>
  <w:style w:type="character" w:customStyle="1" w:styleId="ListLabel13">
    <w:name w:val="ListLabel 13"/>
    <w:rPr>
      <w:lang w:val="pt-PT" w:eastAsia="pt-PT" w:bidi="pt-PT"/>
    </w:rPr>
  </w:style>
  <w:style w:type="character" w:customStyle="1" w:styleId="ListLabel14">
    <w:name w:val="ListLabel 14"/>
    <w:rPr>
      <w:lang w:val="pt-PT" w:eastAsia="pt-PT" w:bidi="pt-PT"/>
    </w:rPr>
  </w:style>
  <w:style w:type="character" w:customStyle="1" w:styleId="ListLabel15">
    <w:name w:val="ListLabel 15"/>
    <w:rPr>
      <w:lang w:val="pt-PT" w:eastAsia="pt-PT" w:bidi="pt-PT"/>
    </w:rPr>
  </w:style>
  <w:style w:type="character" w:customStyle="1" w:styleId="ListLabel16">
    <w:name w:val="ListLabel 16"/>
    <w:rPr>
      <w:lang w:val="pt-PT" w:eastAsia="pt-PT" w:bidi="pt-PT"/>
    </w:rPr>
  </w:style>
  <w:style w:type="character" w:customStyle="1" w:styleId="ListLabel17">
    <w:name w:val="ListLabel 17"/>
    <w:rPr>
      <w:lang w:val="pt-PT" w:eastAsia="pt-PT" w:bidi="pt-PT"/>
    </w:rPr>
  </w:style>
  <w:style w:type="character" w:customStyle="1" w:styleId="ListLabel18">
    <w:name w:val="ListLabel 18"/>
    <w:rPr>
      <w:lang w:val="pt-PT" w:eastAsia="pt-PT" w:bidi="pt-PT"/>
    </w:rPr>
  </w:style>
  <w:style w:type="character" w:customStyle="1" w:styleId="ListLabel19">
    <w:name w:val="ListLabel 19"/>
    <w:rPr>
      <w:rFonts w:eastAsia="Arial" w:cs="Arial"/>
      <w:w w:val="100"/>
      <w:sz w:val="24"/>
      <w:szCs w:val="24"/>
      <w:lang w:val="pt-PT" w:eastAsia="pt-PT" w:bidi="pt-PT"/>
    </w:rPr>
  </w:style>
  <w:style w:type="character" w:customStyle="1" w:styleId="ListLabel20">
    <w:name w:val="ListLabel 20"/>
    <w:rPr>
      <w:lang w:val="pt-PT" w:eastAsia="pt-PT" w:bidi="pt-PT"/>
    </w:rPr>
  </w:style>
  <w:style w:type="character" w:customStyle="1" w:styleId="ListLabel21">
    <w:name w:val="ListLabel 21"/>
    <w:rPr>
      <w:lang w:val="pt-PT" w:eastAsia="pt-PT" w:bidi="pt-PT"/>
    </w:rPr>
  </w:style>
  <w:style w:type="character" w:customStyle="1" w:styleId="ListLabel22">
    <w:name w:val="ListLabel 22"/>
    <w:rPr>
      <w:lang w:val="pt-PT" w:eastAsia="pt-PT" w:bidi="pt-PT"/>
    </w:rPr>
  </w:style>
  <w:style w:type="character" w:customStyle="1" w:styleId="ListLabel23">
    <w:name w:val="ListLabel 23"/>
    <w:rPr>
      <w:lang w:val="pt-PT" w:eastAsia="pt-PT" w:bidi="pt-PT"/>
    </w:rPr>
  </w:style>
  <w:style w:type="character" w:customStyle="1" w:styleId="ListLabel24">
    <w:name w:val="ListLabel 24"/>
    <w:rPr>
      <w:lang w:val="pt-PT" w:eastAsia="pt-PT" w:bidi="pt-PT"/>
    </w:rPr>
  </w:style>
  <w:style w:type="character" w:customStyle="1" w:styleId="ListLabel25">
    <w:name w:val="ListLabel 25"/>
    <w:rPr>
      <w:lang w:val="pt-PT" w:eastAsia="pt-PT" w:bidi="pt-PT"/>
    </w:rPr>
  </w:style>
  <w:style w:type="character" w:customStyle="1" w:styleId="ListLabel26">
    <w:name w:val="ListLabel 26"/>
    <w:rPr>
      <w:lang w:val="pt-PT" w:eastAsia="pt-PT" w:bidi="pt-PT"/>
    </w:rPr>
  </w:style>
  <w:style w:type="character" w:customStyle="1" w:styleId="ListLabel27">
    <w:name w:val="ListLabel 27"/>
    <w:rPr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154566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Juliano</cp:lastModifiedBy>
  <cp:revision>2</cp:revision>
  <cp:lastPrinted>2020-12-08T17:06:00Z</cp:lastPrinted>
  <dcterms:created xsi:type="dcterms:W3CDTF">2020-12-14T16:14:00Z</dcterms:created>
  <dcterms:modified xsi:type="dcterms:W3CDTF">2020-12-14T16:14:00Z</dcterms:modified>
</cp:coreProperties>
</file>